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531" w:rsidRDefault="00D32AE8" w:rsidP="00D32AE8">
      <w:pPr>
        <w:jc w:val="center"/>
        <w:rPr>
          <w:rFonts w:ascii="Californian FB" w:hAnsi="Californian FB"/>
          <w:b/>
          <w:sz w:val="40"/>
          <w:szCs w:val="40"/>
        </w:rPr>
      </w:pPr>
      <w:r>
        <w:rPr>
          <w:rFonts w:ascii="Californian FB" w:hAnsi="Californian FB"/>
          <w:b/>
          <w:sz w:val="40"/>
          <w:szCs w:val="40"/>
        </w:rPr>
        <w:t>Hesperia</w:t>
      </w:r>
    </w:p>
    <w:p w:rsidR="00D32AE8" w:rsidRDefault="00D32AE8" w:rsidP="00D32AE8">
      <w:pPr>
        <w:jc w:val="center"/>
        <w:rPr>
          <w:rFonts w:ascii="Californian FB" w:hAnsi="Californian FB"/>
          <w:b/>
          <w:sz w:val="40"/>
          <w:szCs w:val="40"/>
        </w:rPr>
      </w:pPr>
      <w:r>
        <w:rPr>
          <w:rFonts w:ascii="Californian FB" w:hAnsi="Californian FB"/>
          <w:b/>
          <w:sz w:val="40"/>
          <w:szCs w:val="40"/>
        </w:rPr>
        <w:t>1</w:t>
      </w:r>
      <w:r w:rsidRPr="00D32AE8">
        <w:rPr>
          <w:rFonts w:ascii="Californian FB" w:hAnsi="Californian FB"/>
          <w:b/>
          <w:sz w:val="40"/>
          <w:szCs w:val="40"/>
          <w:vertAlign w:val="superscript"/>
        </w:rPr>
        <w:t>st</w:t>
      </w:r>
      <w:r>
        <w:rPr>
          <w:rFonts w:ascii="Californian FB" w:hAnsi="Californian FB"/>
          <w:b/>
          <w:sz w:val="40"/>
          <w:szCs w:val="40"/>
        </w:rPr>
        <w:t>, 2</w:t>
      </w:r>
      <w:r w:rsidRPr="00D32AE8">
        <w:rPr>
          <w:rFonts w:ascii="Californian FB" w:hAnsi="Californian FB"/>
          <w:b/>
          <w:sz w:val="40"/>
          <w:szCs w:val="40"/>
          <w:vertAlign w:val="superscript"/>
        </w:rPr>
        <w:t>nd</w:t>
      </w:r>
      <w:r>
        <w:rPr>
          <w:rFonts w:ascii="Californian FB" w:hAnsi="Californian FB"/>
          <w:b/>
          <w:sz w:val="40"/>
          <w:szCs w:val="40"/>
        </w:rPr>
        <w:t xml:space="preserve"> and 3</w:t>
      </w:r>
      <w:r w:rsidRPr="00D32AE8">
        <w:rPr>
          <w:rFonts w:ascii="Californian FB" w:hAnsi="Californian FB"/>
          <w:b/>
          <w:sz w:val="40"/>
          <w:szCs w:val="40"/>
          <w:vertAlign w:val="superscript"/>
        </w:rPr>
        <w:t>rd</w:t>
      </w:r>
      <w:r>
        <w:rPr>
          <w:rFonts w:ascii="Californian FB" w:hAnsi="Californian FB"/>
          <w:b/>
          <w:sz w:val="40"/>
          <w:szCs w:val="40"/>
        </w:rPr>
        <w:t xml:space="preserve"> Quarters Combined</w:t>
      </w:r>
    </w:p>
    <w:p w:rsidR="00D32AE8" w:rsidRPr="00D32AE8" w:rsidRDefault="00D32AE8" w:rsidP="00D32AE8">
      <w:pPr>
        <w:jc w:val="center"/>
        <w:rPr>
          <w:rFonts w:ascii="Californian FB" w:hAnsi="Californian FB"/>
          <w:b/>
          <w:sz w:val="40"/>
          <w:szCs w:val="40"/>
        </w:rPr>
      </w:pPr>
      <w:bookmarkStart w:id="0" w:name="_GoBack"/>
      <w:r w:rsidRPr="00296D8B">
        <w:rPr>
          <w:i/>
          <w:caps/>
          <w:noProof/>
        </w:rPr>
        <w:drawing>
          <wp:inline distT="0" distB="0" distL="0" distR="0" wp14:anchorId="6F96CA04" wp14:editId="6B3479D7">
            <wp:extent cx="9039225" cy="584835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D32AE8" w:rsidRPr="00D32AE8" w:rsidSect="00D32AE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E8"/>
    <w:rsid w:val="00296D8B"/>
    <w:rsid w:val="00472531"/>
    <w:rsid w:val="00D32AE8"/>
    <w:rsid w:val="00E1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9DD10-A87E-4991-BFDE-AA02F6D0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0" i="0" baseline="0">
                <a:latin typeface="Californian FB" panose="0207040306080B030204" pitchFamily="18" charset="0"/>
              </a:rPr>
              <a:t>850 Homes Sold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spPr>
            <a:solidFill>
              <a:srgbClr val="FFFF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32</c:v>
                </c:pt>
                <c:pt idx="1">
                  <c:v>67</c:v>
                </c:pt>
                <c:pt idx="2">
                  <c:v>127</c:v>
                </c:pt>
                <c:pt idx="3">
                  <c:v>157</c:v>
                </c:pt>
                <c:pt idx="4">
                  <c:v>161</c:v>
                </c:pt>
                <c:pt idx="5">
                  <c:v>150</c:v>
                </c:pt>
                <c:pt idx="6">
                  <c:v>71</c:v>
                </c:pt>
                <c:pt idx="7">
                  <c:v>46</c:v>
                </c:pt>
                <c:pt idx="8">
                  <c:v>14</c:v>
                </c:pt>
                <c:pt idx="9">
                  <c:v>7</c:v>
                </c:pt>
                <c:pt idx="10">
                  <c:v>12</c:v>
                </c:pt>
                <c:pt idx="11">
                  <c:v>3</c:v>
                </c:pt>
                <c:pt idx="12">
                  <c:v>1</c:v>
                </c:pt>
                <c:pt idx="13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29754624"/>
        <c:axId val="429755016"/>
        <c:axId val="0"/>
      </c:bar3DChart>
      <c:catAx>
        <c:axId val="4297546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9755016"/>
        <c:crosses val="autoZero"/>
        <c:auto val="1"/>
        <c:lblAlgn val="ctr"/>
        <c:lblOffset val="100"/>
        <c:noMultiLvlLbl val="0"/>
      </c:catAx>
      <c:valAx>
        <c:axId val="4297550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297546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0.16017</cdr:x>
      <cdr:y>0.12704</cdr:y>
    </cdr:from>
    <cdr:to>
      <cdr:x>0.47945</cdr:x>
      <cdr:y>0.17101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47800" y="742950"/>
          <a:ext cx="28860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3,780</a:t>
          </a:r>
          <a:r>
            <a:rPr lang="en-US" sz="1000" i="1"/>
            <a:t> - Average Year Built </a:t>
          </a:r>
          <a:r>
            <a:rPr lang="en-US" sz="1000" b="1" i="1"/>
            <a:t>2007</a:t>
          </a:r>
        </a:p>
      </cdr:txBody>
    </cdr:sp>
  </cdr:relSizeAnchor>
  <cdr:relSizeAnchor xmlns:cdr="http://schemas.openxmlformats.org/drawingml/2006/chartDrawing">
    <cdr:from>
      <cdr:x>0.16228</cdr:x>
      <cdr:y>0.19381</cdr:y>
    </cdr:from>
    <cdr:to>
      <cdr:x>0.48788</cdr:x>
      <cdr:y>0.23616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66850" y="1133475"/>
          <a:ext cx="29432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4,253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2007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0.16228</cdr:x>
      <cdr:y>0.25733</cdr:y>
    </cdr:from>
    <cdr:to>
      <cdr:x>0.55532</cdr:x>
      <cdr:y>0.29642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66850" y="1504950"/>
          <a:ext cx="355282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3,422 </a:t>
          </a:r>
          <a:r>
            <a:rPr lang="en-US" sz="1000" i="1"/>
            <a:t>- Average</a:t>
          </a:r>
          <a:r>
            <a:rPr lang="en-US" sz="1000" i="1" baseline="0"/>
            <a:t> Year Built </a:t>
          </a:r>
          <a:r>
            <a:rPr lang="en-US" sz="1000" b="1" i="1" baseline="0"/>
            <a:t>1998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0.16333</cdr:x>
      <cdr:y>0.32248</cdr:y>
    </cdr:from>
    <cdr:to>
      <cdr:x>0.54584</cdr:x>
      <cdr:y>0.36156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76375" y="1885950"/>
          <a:ext cx="345757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2,999 - </a:t>
          </a:r>
          <a:r>
            <a:rPr lang="en-US" sz="1000" i="1"/>
            <a:t>Average Year</a:t>
          </a:r>
          <a:r>
            <a:rPr lang="en-US" sz="1000" i="1" baseline="0"/>
            <a:t> Built </a:t>
          </a:r>
          <a:r>
            <a:rPr lang="en-US" sz="1000" b="1" i="1" baseline="0"/>
            <a:t>1997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0.16333</cdr:x>
      <cdr:y>0.38274</cdr:y>
    </cdr:from>
    <cdr:to>
      <cdr:x>0.56481</cdr:x>
      <cdr:y>0.42182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76375" y="2238375"/>
          <a:ext cx="362902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2,356 - Average</a:t>
          </a:r>
          <a:r>
            <a:rPr lang="en-US" sz="1000" i="1" baseline="0"/>
            <a:t> Year Built </a:t>
          </a:r>
          <a:r>
            <a:rPr lang="en-US" sz="1000" b="1" i="1" baseline="0"/>
            <a:t>1997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0.16228</cdr:x>
      <cdr:y>0.443</cdr:y>
    </cdr:from>
    <cdr:to>
      <cdr:x>0.47102</cdr:x>
      <cdr:y>0.48534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66850" y="2590800"/>
          <a:ext cx="27908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2,385 </a:t>
          </a:r>
          <a:r>
            <a:rPr lang="en-US" sz="1000" i="1"/>
            <a:t>- Average Year Built</a:t>
          </a:r>
          <a:r>
            <a:rPr lang="en-US" sz="1000" i="1" baseline="0"/>
            <a:t> </a:t>
          </a:r>
          <a:r>
            <a:rPr lang="en-US" sz="1000" b="1" i="1" baseline="0"/>
            <a:t>1994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0.16333</cdr:x>
      <cdr:y>0.50651</cdr:y>
    </cdr:from>
    <cdr:to>
      <cdr:x>0.51633</cdr:x>
      <cdr:y>0.54723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76375" y="2962275"/>
          <a:ext cx="31908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2,355</a:t>
          </a:r>
          <a:r>
            <a:rPr lang="en-US" sz="1000" i="1"/>
            <a:t> - Average Year Built </a:t>
          </a:r>
          <a:r>
            <a:rPr lang="en-US" sz="1000" b="1" i="1"/>
            <a:t>1992</a:t>
          </a:r>
          <a:r>
            <a:rPr lang="en-US" sz="1000" i="1" baseline="0"/>
            <a:t> </a:t>
          </a:r>
          <a:endParaRPr lang="en-US" sz="1000" i="1"/>
        </a:p>
      </cdr:txBody>
    </cdr:sp>
  </cdr:relSizeAnchor>
  <cdr:relSizeAnchor xmlns:cdr="http://schemas.openxmlformats.org/drawingml/2006/chartDrawing">
    <cdr:from>
      <cdr:x>0.16333</cdr:x>
      <cdr:y>0.56678</cdr:y>
    </cdr:from>
    <cdr:to>
      <cdr:x>0.51949</cdr:x>
      <cdr:y>0.60912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76375" y="3314700"/>
          <a:ext cx="32194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 </a:t>
          </a:r>
          <a:r>
            <a:rPr lang="en-US" sz="1000" b="1" i="1" baseline="0"/>
            <a:t>2,194</a:t>
          </a:r>
          <a:r>
            <a:rPr lang="en-US" sz="1000" i="1" baseline="0"/>
            <a:t> - Average Year Built </a:t>
          </a:r>
          <a:r>
            <a:rPr lang="en-US" sz="1000" b="1" i="1" baseline="0"/>
            <a:t>1995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0.16333</cdr:x>
      <cdr:y>0.63029</cdr:y>
    </cdr:from>
    <cdr:to>
      <cdr:x>0.52055</cdr:x>
      <cdr:y>0.66938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76375" y="3686175"/>
          <a:ext cx="322897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1,987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1993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0.16228</cdr:x>
      <cdr:y>0.69055</cdr:y>
    </cdr:from>
    <cdr:to>
      <cdr:x>0.51423</cdr:x>
      <cdr:y>0.7329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66850" y="4038600"/>
          <a:ext cx="31813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1,705 </a:t>
          </a:r>
          <a:r>
            <a:rPr lang="en-US" sz="1000" i="1"/>
            <a:t>- Average Year Built </a:t>
          </a:r>
          <a:r>
            <a:rPr lang="en-US" sz="1000" b="1" i="1"/>
            <a:t>1991</a:t>
          </a:r>
        </a:p>
      </cdr:txBody>
    </cdr:sp>
  </cdr:relSizeAnchor>
  <cdr:relSizeAnchor xmlns:cdr="http://schemas.openxmlformats.org/drawingml/2006/chartDrawing">
    <cdr:from>
      <cdr:x>0.16333</cdr:x>
      <cdr:y>0.7557</cdr:y>
    </cdr:from>
    <cdr:to>
      <cdr:x>0.49526</cdr:x>
      <cdr:y>0.79479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76375" y="4419600"/>
          <a:ext cx="300037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1,477</a:t>
          </a:r>
          <a:r>
            <a:rPr lang="en-US" sz="1000" i="1" baseline="0"/>
            <a:t> - Average Year Built </a:t>
          </a:r>
          <a:r>
            <a:rPr lang="en-US" sz="1000" b="1" i="1" baseline="0"/>
            <a:t>1986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0.16333</cdr:x>
      <cdr:y>0.81596</cdr:y>
    </cdr:from>
    <cdr:to>
      <cdr:x>0.4942</cdr:x>
      <cdr:y>0.85831</cdr:y>
    </cdr:to>
    <cdr:sp macro="" textlink="">
      <cdr:nvSpPr>
        <cdr:cNvPr id="13" name="Text Box 12"/>
        <cdr:cNvSpPr txBox="1"/>
      </cdr:nvSpPr>
      <cdr:spPr>
        <a:xfrm xmlns:a="http://schemas.openxmlformats.org/drawingml/2006/main">
          <a:off x="1476375" y="4772025"/>
          <a:ext cx="29908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1,396 </a:t>
          </a:r>
          <a:r>
            <a:rPr lang="en-US" sz="1000" i="1"/>
            <a:t>- Average Year Built</a:t>
          </a:r>
          <a:r>
            <a:rPr lang="en-US" sz="1000" i="1" baseline="0"/>
            <a:t> </a:t>
          </a:r>
          <a:r>
            <a:rPr lang="en-US" sz="1000" b="1" i="1" baseline="0"/>
            <a:t>1982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0.16228</cdr:x>
      <cdr:y>0.87785</cdr:y>
    </cdr:from>
    <cdr:to>
      <cdr:x>0.56691</cdr:x>
      <cdr:y>0.91694</cdr:y>
    </cdr:to>
    <cdr:sp macro="" textlink="">
      <cdr:nvSpPr>
        <cdr:cNvPr id="14" name="Text Box 13"/>
        <cdr:cNvSpPr txBox="1"/>
      </cdr:nvSpPr>
      <cdr:spPr>
        <a:xfrm xmlns:a="http://schemas.openxmlformats.org/drawingml/2006/main">
          <a:off x="1466850" y="5133975"/>
          <a:ext cx="36576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1,206</a:t>
          </a:r>
          <a:r>
            <a:rPr lang="en-US" sz="1000" i="1"/>
            <a:t> - Average Year</a:t>
          </a:r>
          <a:r>
            <a:rPr lang="en-US" sz="1000" i="1" baseline="0"/>
            <a:t> Built </a:t>
          </a:r>
          <a:r>
            <a:rPr lang="en-US" sz="1000" b="1" i="1" baseline="0"/>
            <a:t>1976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0.16438</cdr:x>
      <cdr:y>0.93811</cdr:y>
    </cdr:from>
    <cdr:to>
      <cdr:x>0.55743</cdr:x>
      <cdr:y>0.97883</cdr:y>
    </cdr:to>
    <cdr:sp macro="" textlink="">
      <cdr:nvSpPr>
        <cdr:cNvPr id="15" name="Text Box 14"/>
        <cdr:cNvSpPr txBox="1"/>
      </cdr:nvSpPr>
      <cdr:spPr>
        <a:xfrm xmlns:a="http://schemas.openxmlformats.org/drawingml/2006/main">
          <a:off x="1485900" y="5486400"/>
          <a:ext cx="35528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1,381</a:t>
          </a:r>
          <a:r>
            <a:rPr lang="en-US" sz="1000" i="1"/>
            <a:t> - Average Year Built </a:t>
          </a:r>
          <a:r>
            <a:rPr lang="en-US" sz="1000" b="1" i="1"/>
            <a:t>1974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2016-12-07T00:26:00Z</dcterms:created>
  <dcterms:modified xsi:type="dcterms:W3CDTF">2016-12-07T00:50:00Z</dcterms:modified>
</cp:coreProperties>
</file>